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4" w:rsidRDefault="003E50E4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3E50E4" w:rsidRDefault="003E50E4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0647C0" w:rsidRDefault="000647C0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672B86" w:rsidRDefault="00672B86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672B86" w:rsidRDefault="00672B86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672B86" w:rsidRDefault="00672B86" w:rsidP="00BF2555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8232D8" w:rsidRPr="00DB49EB" w:rsidRDefault="00DB49EB" w:rsidP="00BF255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B3B98">
        <w:rPr>
          <w:rFonts w:ascii="Courier New" w:eastAsia="Times New Roman" w:hAnsi="Courier New" w:cs="Courier New"/>
          <w:b/>
          <w:color w:val="0000FF"/>
          <w:sz w:val="24"/>
          <w:szCs w:val="24"/>
          <w:lang w:eastAsia="cs-CZ"/>
        </w:rPr>
        <w:t>Viskozita</w:t>
      </w:r>
      <w:r w:rsidRPr="00DB49E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je fyzikální veličina, která udává poměr mezi tečným napětím a změnou rychlosti v závislosti na vzdálenosti mezi sousedními vrstvami proudící kapaliny. Jedná se o veličinu, která charakterizuje vnitřní tření kapaliny a závisí především na přitažlivých silách mezi částicemi.</w:t>
      </w:r>
    </w:p>
    <w:p w:rsidR="008232D8" w:rsidRDefault="008232D8" w:rsidP="00BF255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49EB" w:rsidRP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49EB" w:rsidRPr="008B3B98" w:rsidRDefault="00DB49EB" w:rsidP="00DB49EB">
      <w:pPr>
        <w:spacing w:after="0" w:line="240" w:lineRule="auto"/>
        <w:rPr>
          <w:rFonts w:ascii="Courier New" w:eastAsia="Times New Roman" w:hAnsi="Courier New" w:cs="Courier New"/>
          <w:b/>
          <w:lang w:eastAsia="cs-CZ"/>
        </w:rPr>
      </w:pPr>
      <w:r w:rsidRPr="008B3B98">
        <w:rPr>
          <w:rFonts w:ascii="Courier New" w:eastAsia="Times New Roman" w:hAnsi="Courier New" w:cs="Courier New"/>
          <w:b/>
          <w:lang w:eastAsia="cs-CZ"/>
        </w:rPr>
        <w:t>Symbol dynamické viskozity: η</w:t>
      </w:r>
    </w:p>
    <w:p w:rsid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B3B98">
        <w:rPr>
          <w:rFonts w:ascii="Courier New" w:eastAsia="Times New Roman" w:hAnsi="Courier New" w:cs="Courier New"/>
          <w:lang w:eastAsia="cs-CZ"/>
        </w:rPr>
        <w:t>Jednotka SI: newton sekunda na metr čtvereční, značka jednotky: Nsm-2, ekvivalentně též Pascal·sekunda, značka Pa·s</w:t>
      </w:r>
      <w:bookmarkStart w:id="0" w:name="_GoBack"/>
      <w:bookmarkEnd w:id="0"/>
    </w:p>
    <w:p w:rsidR="008013BB" w:rsidRDefault="008013B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DB49EB" w:rsidRPr="008B3B98" w:rsidRDefault="00DB49E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DB49EB" w:rsidRPr="008B3B98" w:rsidRDefault="00DB49EB" w:rsidP="00DB49EB">
      <w:pPr>
        <w:spacing w:after="0" w:line="240" w:lineRule="auto"/>
        <w:rPr>
          <w:rFonts w:ascii="Courier New" w:eastAsia="Times New Roman" w:hAnsi="Courier New" w:cs="Courier New"/>
          <w:b/>
          <w:lang w:eastAsia="cs-CZ"/>
        </w:rPr>
      </w:pPr>
      <w:r w:rsidRPr="008B3B98">
        <w:rPr>
          <w:rFonts w:ascii="Courier New" w:eastAsia="Times New Roman" w:hAnsi="Courier New" w:cs="Courier New"/>
          <w:b/>
          <w:lang w:eastAsia="cs-CZ"/>
        </w:rPr>
        <w:t>Symbol kinematické viskozity: ν</w:t>
      </w:r>
    </w:p>
    <w:p w:rsidR="00DB49EB" w:rsidRPr="008B3B98" w:rsidRDefault="00DB49E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B3B98">
        <w:rPr>
          <w:rFonts w:ascii="Courier New" w:eastAsia="Times New Roman" w:hAnsi="Courier New" w:cs="Courier New"/>
          <w:lang w:eastAsia="cs-CZ"/>
        </w:rPr>
        <w:t>Jednotka SI: metr čtvereční za sekundu, značka jednotky: m2·s-1 (praktič</w:t>
      </w:r>
      <w:r w:rsidRPr="008B3B98">
        <w:rPr>
          <w:rFonts w:ascii="Courier New" w:eastAsia="Times New Roman" w:hAnsi="Courier New" w:cs="Courier New"/>
          <w:lang w:eastAsia="cs-CZ"/>
        </w:rPr>
        <w:t>tější je mm2·s-1, příp. cm2·s-1)</w:t>
      </w:r>
    </w:p>
    <w:p w:rsidR="00DB49EB" w:rsidRPr="008B3B98" w:rsidRDefault="00DB49E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49EB" w:rsidRP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B49EB">
        <w:rPr>
          <w:rFonts w:ascii="Courier New" w:eastAsia="Times New Roman" w:hAnsi="Courier New" w:cs="Courier New"/>
          <w:b/>
          <w:color w:val="0000FF"/>
          <w:sz w:val="24"/>
          <w:szCs w:val="24"/>
          <w:lang w:eastAsia="cs-CZ"/>
        </w:rPr>
        <w:t>Newtonská tekutina</w:t>
      </w:r>
      <w:r w:rsidRPr="00DB49E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je charakterizována přímou úměrností rychlosti deformace a napětí. U těchto tekutin nedochází ke změnám viskozity v závislosti na rychlosti pohybu, ale pouze v závislosti na změně teploty (cca +1 </w:t>
      </w:r>
      <w:r w:rsidRPr="00DB49EB">
        <w:rPr>
          <w:rFonts w:ascii="Calibri" w:eastAsia="Times New Roman" w:hAnsi="Calibri" w:cs="Courier New"/>
          <w:sz w:val="24"/>
          <w:szCs w:val="24"/>
          <w:lang w:eastAsia="cs-CZ"/>
        </w:rPr>
        <w:t>°</w:t>
      </w:r>
      <w:r w:rsidRPr="00DB49EB">
        <w:rPr>
          <w:rFonts w:ascii="Courier New" w:eastAsia="Times New Roman" w:hAnsi="Courier New" w:cs="Courier New"/>
          <w:sz w:val="24"/>
          <w:szCs w:val="24"/>
          <w:lang w:eastAsia="cs-CZ"/>
        </w:rPr>
        <w:t>C vede k 10%-nímu navýšení viskozity).</w:t>
      </w:r>
    </w:p>
    <w:p w:rsid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49EB" w:rsidRDefault="00DB49EB" w:rsidP="00DB49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DB49EB">
        <w:rPr>
          <w:rFonts w:ascii="Courier New" w:eastAsia="Times New Roman" w:hAnsi="Courier New" w:cs="Courier New"/>
          <w:b/>
          <w:color w:val="0000FF"/>
          <w:sz w:val="24"/>
          <w:szCs w:val="24"/>
          <w:lang w:eastAsia="cs-CZ"/>
        </w:rPr>
        <w:t xml:space="preserve">Nenewtonské látky </w:t>
      </w:r>
      <w:r w:rsidRPr="00DB49EB">
        <w:rPr>
          <w:rFonts w:ascii="Courier New" w:eastAsia="Times New Roman" w:hAnsi="Courier New" w:cs="Courier New"/>
          <w:sz w:val="24"/>
          <w:szCs w:val="24"/>
          <w:lang w:eastAsia="cs-CZ"/>
        </w:rPr>
        <w:t>(nelineárně viskózní látky) jsou takové látky, u kterých není rychlost deformace úměrná napětí. Neplatí tedy Newtonův zákon viskozity.</w:t>
      </w:r>
      <w:r w:rsidR="008B3B9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Díky této vlastnosti se při měření viskozity používá výraz „Apparent viscosity“. Tyto látky lze pak ještě dále dělit na látky časově závislé a časově nezávislé.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8B3B98">
        <w:rPr>
          <w:rFonts w:ascii="Courier New" w:eastAsia="Times New Roman" w:hAnsi="Courier New" w:cs="Courier New"/>
          <w:lang w:eastAsia="cs-CZ"/>
        </w:rPr>
        <w:t xml:space="preserve">U </w:t>
      </w:r>
      <w:r w:rsidRPr="008B3B98">
        <w:rPr>
          <w:rFonts w:ascii="Courier New" w:eastAsia="Times New Roman" w:hAnsi="Courier New" w:cs="Courier New"/>
          <w:b/>
          <w:lang w:eastAsia="cs-CZ"/>
        </w:rPr>
        <w:t>časově nezávislý</w:t>
      </w:r>
      <w:r>
        <w:rPr>
          <w:rFonts w:ascii="Courier New" w:eastAsia="Times New Roman" w:hAnsi="Courier New" w:cs="Courier New"/>
          <w:b/>
          <w:lang w:eastAsia="cs-CZ"/>
        </w:rPr>
        <w:t>ch</w:t>
      </w:r>
      <w:r w:rsidRPr="008B3B98">
        <w:rPr>
          <w:rFonts w:ascii="Courier New" w:eastAsia="Times New Roman" w:hAnsi="Courier New" w:cs="Courier New"/>
          <w:b/>
          <w:lang w:eastAsia="cs-CZ"/>
        </w:rPr>
        <w:t xml:space="preserve"> Nenewtonských látek</w:t>
      </w:r>
      <w:r w:rsidRPr="008B3B98">
        <w:rPr>
          <w:rFonts w:ascii="Courier New" w:eastAsia="Times New Roman" w:hAnsi="Courier New" w:cs="Courier New"/>
          <w:lang w:eastAsia="cs-CZ"/>
        </w:rPr>
        <w:t xml:space="preserve"> je viskozita závislá na teplotě a rychlosti gradientu.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8B3B98" w:rsidRP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u w:val="single"/>
          <w:lang w:eastAsia="cs-CZ"/>
        </w:rPr>
      </w:pPr>
      <w:r w:rsidRPr="008B3B98">
        <w:rPr>
          <w:rFonts w:ascii="Courier New" w:eastAsia="Times New Roman" w:hAnsi="Courier New" w:cs="Courier New"/>
          <w:u w:val="single"/>
          <w:lang w:eastAsia="cs-CZ"/>
        </w:rPr>
        <w:t>Pseudo-plastické tekutiny</w:t>
      </w:r>
    </w:p>
    <w:p w:rsidR="008B3B98" w:rsidRDefault="008B3B98" w:rsidP="008B3B98">
      <w:pPr>
        <w:tabs>
          <w:tab w:val="left" w:pos="2552"/>
        </w:tabs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Viskozita se změnšuje pokud se zvyšuje rychlostí deformace. Příkladem jsou taveniny polymerů.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8B3B98" w:rsidRP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u w:val="single"/>
          <w:lang w:eastAsia="cs-CZ"/>
        </w:rPr>
      </w:pPr>
      <w:r w:rsidRPr="008B3B98">
        <w:rPr>
          <w:rFonts w:ascii="Courier New" w:eastAsia="Times New Roman" w:hAnsi="Courier New" w:cs="Courier New"/>
          <w:u w:val="single"/>
          <w:lang w:eastAsia="cs-CZ"/>
        </w:rPr>
        <w:t>Dilatantní tekutiny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V</w:t>
      </w:r>
      <w:r w:rsidRPr="008B3B98">
        <w:rPr>
          <w:rFonts w:ascii="Courier New" w:eastAsia="Times New Roman" w:hAnsi="Courier New" w:cs="Courier New"/>
          <w:lang w:eastAsia="cs-CZ"/>
        </w:rPr>
        <w:t>iskozita roste s rychlostí deformace</w:t>
      </w:r>
      <w:r>
        <w:rPr>
          <w:rFonts w:ascii="Courier New" w:eastAsia="Times New Roman" w:hAnsi="Courier New" w:cs="Courier New"/>
          <w:lang w:eastAsia="cs-CZ"/>
        </w:rPr>
        <w:t xml:space="preserve">. Jde např. o </w:t>
      </w:r>
      <w:r w:rsidR="00BA1A2B">
        <w:rPr>
          <w:rFonts w:ascii="Courier New" w:eastAsia="Times New Roman" w:hAnsi="Courier New" w:cs="Courier New"/>
          <w:lang w:eastAsia="cs-CZ"/>
        </w:rPr>
        <w:t>škrobové suspenze.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8B3B98" w:rsidRP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u w:val="single"/>
          <w:lang w:eastAsia="cs-CZ"/>
        </w:rPr>
      </w:pPr>
      <w:r w:rsidRPr="008B3B98">
        <w:rPr>
          <w:rFonts w:ascii="Courier New" w:eastAsia="Times New Roman" w:hAnsi="Courier New" w:cs="Courier New"/>
          <w:u w:val="single"/>
          <w:lang w:eastAsia="cs-CZ"/>
        </w:rPr>
        <w:t>Plastické tekutiny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Tekutiny začínají téct až po vynaložení určité síly. Typickým příkladem jsou kečupy.</w:t>
      </w: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8B3B98" w:rsidRDefault="008B3B98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BA1A2B">
        <w:rPr>
          <w:rFonts w:ascii="Courier New" w:eastAsia="Times New Roman" w:hAnsi="Courier New" w:cs="Courier New"/>
          <w:lang w:eastAsia="cs-CZ"/>
        </w:rPr>
        <w:t xml:space="preserve">U </w:t>
      </w:r>
      <w:r w:rsidRPr="00BA1A2B">
        <w:rPr>
          <w:rFonts w:ascii="Courier New" w:eastAsia="Times New Roman" w:hAnsi="Courier New" w:cs="Courier New"/>
          <w:b/>
          <w:lang w:eastAsia="cs-CZ"/>
        </w:rPr>
        <w:t>časově závislých Nenewtonských látek</w:t>
      </w:r>
      <w:r w:rsidRPr="00BA1A2B">
        <w:rPr>
          <w:rFonts w:ascii="Courier New" w:eastAsia="Times New Roman" w:hAnsi="Courier New" w:cs="Courier New"/>
          <w:lang w:eastAsia="cs-CZ"/>
        </w:rPr>
        <w:t xml:space="preserve"> je viskozita závislá</w:t>
      </w:r>
      <w:r>
        <w:rPr>
          <w:rFonts w:ascii="Courier New" w:eastAsia="Times New Roman" w:hAnsi="Courier New" w:cs="Courier New"/>
          <w:lang w:eastAsia="cs-CZ"/>
        </w:rPr>
        <w:t xml:space="preserve"> na teplotě, deformaci a času.</w:t>
      </w: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P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u w:val="single"/>
          <w:lang w:eastAsia="cs-CZ"/>
        </w:rPr>
      </w:pPr>
      <w:r w:rsidRPr="00BA1A2B">
        <w:rPr>
          <w:rFonts w:ascii="Courier New" w:eastAsia="Times New Roman" w:hAnsi="Courier New" w:cs="Courier New"/>
          <w:u w:val="single"/>
          <w:lang w:eastAsia="cs-CZ"/>
        </w:rPr>
        <w:t xml:space="preserve">Tixotropické tekutiny </w:t>
      </w: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S</w:t>
      </w:r>
      <w:r w:rsidRPr="00BA1A2B">
        <w:rPr>
          <w:rFonts w:ascii="Courier New" w:eastAsia="Times New Roman" w:hAnsi="Courier New" w:cs="Courier New"/>
          <w:lang w:eastAsia="cs-CZ"/>
        </w:rPr>
        <w:t xml:space="preserve"> dobou působení napětí viskozita klesá</w:t>
      </w:r>
      <w:r>
        <w:rPr>
          <w:rFonts w:ascii="Courier New" w:eastAsia="Times New Roman" w:hAnsi="Courier New" w:cs="Courier New"/>
          <w:lang w:eastAsia="cs-CZ"/>
        </w:rPr>
        <w:t>. Např. nátěrové hmoty.</w:t>
      </w: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P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u w:val="single"/>
          <w:lang w:eastAsia="cs-CZ"/>
        </w:rPr>
      </w:pPr>
      <w:r w:rsidRPr="00BA1A2B">
        <w:rPr>
          <w:rFonts w:ascii="Courier New" w:eastAsia="Times New Roman" w:hAnsi="Courier New" w:cs="Courier New"/>
          <w:u w:val="single"/>
          <w:lang w:eastAsia="cs-CZ"/>
        </w:rPr>
        <w:t>Reopexní tekutiny</w:t>
      </w: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S</w:t>
      </w:r>
      <w:r w:rsidRPr="00BA1A2B">
        <w:rPr>
          <w:rFonts w:ascii="Courier New" w:eastAsia="Times New Roman" w:hAnsi="Courier New" w:cs="Courier New"/>
          <w:lang w:eastAsia="cs-CZ"/>
        </w:rPr>
        <w:t xml:space="preserve"> dobou působení napětí viskozita roste</w:t>
      </w:r>
      <w:r>
        <w:rPr>
          <w:rFonts w:ascii="Courier New" w:eastAsia="Times New Roman" w:hAnsi="Courier New" w:cs="Courier New"/>
          <w:lang w:eastAsia="cs-CZ"/>
        </w:rPr>
        <w:t>. Tyto tekutiny jsou vyjímečné.</w:t>
      </w: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</w:p>
    <w:p w:rsidR="00BA1A2B" w:rsidRPr="00BA1A2B" w:rsidRDefault="00BA1A2B" w:rsidP="00DB49EB">
      <w:pPr>
        <w:spacing w:after="0" w:line="240" w:lineRule="auto"/>
        <w:rPr>
          <w:rFonts w:ascii="Courier New" w:eastAsia="Times New Roman" w:hAnsi="Courier New" w:cs="Courier New"/>
          <w:b/>
          <w:lang w:eastAsia="cs-CZ"/>
        </w:rPr>
      </w:pPr>
      <w:r w:rsidRPr="00BA1A2B">
        <w:rPr>
          <w:rFonts w:ascii="Courier New" w:eastAsia="Times New Roman" w:hAnsi="Courier New" w:cs="Courier New"/>
          <w:b/>
          <w:lang w:eastAsia="cs-CZ"/>
        </w:rPr>
        <w:t>CO OVLIVŇUJE HODNOTU VISKOZITY</w:t>
      </w:r>
    </w:p>
    <w:p w:rsid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Teplota</w:t>
      </w:r>
    </w:p>
    <w:p w:rsid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Rychlost deformace</w:t>
      </w:r>
    </w:p>
    <w:p w:rsid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Měřicí podmínky (podmínky přípravy vzorku, měřící nádoba, vhodná volba rotačního nástavce, termostatování vzorku)</w:t>
      </w:r>
    </w:p>
    <w:p w:rsid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Čas</w:t>
      </w:r>
    </w:p>
    <w:p w:rsid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Podmínky před započetím měření viskozity</w:t>
      </w:r>
    </w:p>
    <w:p w:rsidR="00BA1A2B" w:rsidRPr="00BA1A2B" w:rsidRDefault="00BA1A2B" w:rsidP="00BA1A2B">
      <w:pPr>
        <w:pStyle w:val="Odstavecseseznamem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>Složení vzorku a aditiva</w:t>
      </w:r>
      <w:r w:rsidRPr="00BA1A2B">
        <w:rPr>
          <w:rFonts w:ascii="Courier New" w:eastAsia="Times New Roman" w:hAnsi="Courier New" w:cs="Courier New"/>
          <w:lang w:eastAsia="cs-CZ"/>
        </w:rPr>
        <w:t xml:space="preserve"> </w:t>
      </w:r>
    </w:p>
    <w:sectPr w:rsidR="00BA1A2B" w:rsidRPr="00BA1A2B" w:rsidSect="00A4400B">
      <w:headerReference w:type="default" r:id="rId9"/>
      <w:footerReference w:type="default" r:id="rId10"/>
      <w:pgSz w:w="11906" w:h="16838" w:code="9"/>
      <w:pgMar w:top="3606" w:right="851" w:bottom="79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F" w:rsidRDefault="00302A6F" w:rsidP="00BA3D9E">
      <w:pPr>
        <w:spacing w:after="0" w:line="240" w:lineRule="auto"/>
      </w:pPr>
      <w:r>
        <w:separator/>
      </w:r>
    </w:p>
  </w:endnote>
  <w:endnote w:type="continuationSeparator" w:id="0">
    <w:p w:rsidR="00302A6F" w:rsidRDefault="00302A6F" w:rsidP="00B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552"/>
      <w:gridCol w:w="2552"/>
      <w:gridCol w:w="1701"/>
    </w:tblGrid>
    <w:tr w:rsidR="000514EC" w:rsidTr="00D3219A">
      <w:trPr>
        <w:trHeight w:hRule="exact" w:val="397"/>
      </w:trPr>
      <w:tc>
        <w:tcPr>
          <w:tcW w:w="9357" w:type="dxa"/>
          <w:gridSpan w:val="4"/>
          <w:tcMar>
            <w:left w:w="0" w:type="dxa"/>
            <w:right w:w="0" w:type="dxa"/>
          </w:tcMar>
        </w:tcPr>
        <w:p w:rsidR="000514EC" w:rsidRPr="00815D0F" w:rsidRDefault="000514EC" w:rsidP="000514EC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Společnost je zapsaná v obchodním rejstříku u Krajského soudu Ostrava, oddíl C, vložka 23966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 xml:space="preserve">, </w:t>
          </w:r>
          <w:r w:rsidRPr="00815D0F">
            <w:rPr>
              <w:rFonts w:ascii="Calibri" w:hAnsi="Calibri" w:cs="Arial"/>
              <w:spacing w:val="-4"/>
              <w:sz w:val="16"/>
              <w:szCs w:val="16"/>
            </w:rPr>
            <w:t>IČ: 25876856</w:t>
          </w:r>
          <w:r>
            <w:rPr>
              <w:rFonts w:ascii="Calibri" w:hAnsi="Calibri" w:cs="Arial"/>
              <w:spacing w:val="-4"/>
              <w:sz w:val="16"/>
              <w:szCs w:val="16"/>
            </w:rPr>
            <w:t xml:space="preserve">, </w:t>
          </w:r>
          <w:r w:rsidRPr="00815D0F">
            <w:rPr>
              <w:rFonts w:ascii="Calibri" w:hAnsi="Calibri" w:cs="Arial"/>
              <w:spacing w:val="-4"/>
              <w:sz w:val="16"/>
              <w:szCs w:val="16"/>
            </w:rPr>
            <w:t>DIČ: CZ25876856</w:t>
          </w:r>
        </w:p>
        <w:p w:rsidR="000514EC" w:rsidRPr="008C615B" w:rsidRDefault="000514EC" w:rsidP="000514E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Komerční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banka,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a.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s.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,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Číslo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účtu:</w:t>
          </w:r>
          <w:r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 </w:t>
          </w:r>
          <w:r w:rsidRPr="00815D0F"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  <w:t>86-6585810267/0100</w:t>
          </w:r>
        </w:p>
      </w:tc>
    </w:tr>
    <w:tr w:rsidR="000514EC" w:rsidTr="00D3219A">
      <w:trPr>
        <w:trHeight w:hRule="exact" w:val="397"/>
      </w:trPr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815D0F" w:rsidRDefault="000514EC" w:rsidP="000514EC">
          <w:pPr>
            <w:pStyle w:val="Zhlav"/>
            <w:rPr>
              <w:rFonts w:ascii="Calibri" w:eastAsia="Times New Roman" w:hAnsi="Calibri" w:cs="Arial"/>
              <w:spacing w:val="-4"/>
              <w:sz w:val="16"/>
              <w:szCs w:val="16"/>
              <w:lang w:eastAsia="cs-CZ"/>
            </w:rPr>
          </w:pPr>
          <w:r w:rsidRPr="00B429B1">
            <w:rPr>
              <w:rFonts w:ascii="Courier New" w:hAnsi="Courier New" w:cs="Courier New"/>
              <w:sz w:val="16"/>
              <w:szCs w:val="16"/>
            </w:rPr>
            <w:fldChar w:fldCharType="begin"/>
          </w:r>
          <w:r w:rsidRPr="00B429B1">
            <w:rPr>
              <w:rFonts w:ascii="Courier New" w:hAnsi="Courier New" w:cs="Courier New"/>
              <w:sz w:val="16"/>
              <w:szCs w:val="16"/>
            </w:rPr>
            <w:instrText xml:space="preserve"> PAGE   \* MERGEFORMAT </w:instrText>
          </w:r>
          <w:r w:rsidRPr="00B429B1">
            <w:rPr>
              <w:rFonts w:ascii="Courier New" w:hAnsi="Courier New" w:cs="Courier New"/>
              <w:sz w:val="16"/>
              <w:szCs w:val="16"/>
            </w:rPr>
            <w:fldChar w:fldCharType="separate"/>
          </w:r>
          <w:r w:rsidR="0023535E">
            <w:rPr>
              <w:rFonts w:ascii="Courier New" w:hAnsi="Courier New" w:cs="Courier New"/>
              <w:noProof/>
              <w:sz w:val="16"/>
              <w:szCs w:val="16"/>
            </w:rPr>
            <w:t>1</w:t>
          </w:r>
          <w:r w:rsidRPr="00B429B1">
            <w:rPr>
              <w:rFonts w:ascii="Courier New" w:hAnsi="Courier New" w:cs="Courier New"/>
              <w:noProof/>
              <w:sz w:val="16"/>
              <w:szCs w:val="16"/>
            </w:rPr>
            <w:fldChar w:fldCharType="end"/>
          </w:r>
          <w:r>
            <w:rPr>
              <w:rFonts w:ascii="Courier New" w:hAnsi="Courier New" w:cs="Courier New"/>
              <w:noProof/>
              <w:sz w:val="16"/>
              <w:szCs w:val="16"/>
            </w:rPr>
            <w:t>/</w: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begin"/>
          </w:r>
          <w:r>
            <w:rPr>
              <w:rFonts w:ascii="Courier New" w:hAnsi="Courier New" w:cs="Courier New"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separate"/>
          </w:r>
          <w:r w:rsidR="0023535E">
            <w:rPr>
              <w:rFonts w:ascii="Courier New" w:hAnsi="Courier New" w:cs="Courier New"/>
              <w:noProof/>
              <w:sz w:val="16"/>
              <w:szCs w:val="16"/>
            </w:rPr>
            <w:t>2</w:t>
          </w:r>
          <w:r>
            <w:rPr>
              <w:rFonts w:ascii="Courier New" w:hAnsi="Courier New" w:cs="Courier New"/>
              <w:noProof/>
              <w:sz w:val="16"/>
              <w:szCs w:val="16"/>
            </w:rPr>
            <w:fldChar w:fldCharType="end"/>
          </w: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8C615B" w:rsidRDefault="000514EC" w:rsidP="000514EC">
          <w:pPr>
            <w:pStyle w:val="Zhlav"/>
            <w:rPr>
              <w:rFonts w:ascii="Calibri" w:hAnsi="Calibri" w:cs="Arial"/>
              <w:b/>
              <w:sz w:val="16"/>
              <w:szCs w:val="16"/>
            </w:rPr>
          </w:pPr>
        </w:p>
      </w:tc>
      <w:tc>
        <w:tcPr>
          <w:tcW w:w="2552" w:type="dxa"/>
          <w:tcMar>
            <w:left w:w="0" w:type="dxa"/>
            <w:right w:w="0" w:type="dxa"/>
          </w:tcMar>
          <w:vAlign w:val="bottom"/>
        </w:tcPr>
        <w:p w:rsidR="000514EC" w:rsidRPr="00A01266" w:rsidRDefault="000514EC" w:rsidP="000514EC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0514EC" w:rsidRPr="008C615B" w:rsidRDefault="000514EC" w:rsidP="000514EC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</w:p>
      </w:tc>
    </w:tr>
  </w:tbl>
  <w:p w:rsidR="008C615B" w:rsidRPr="00B429B1" w:rsidRDefault="008C615B" w:rsidP="000514EC">
    <w:pPr>
      <w:pStyle w:val="Zpat"/>
      <w:rPr>
        <w:rFonts w:ascii="Courier New" w:hAnsi="Courier New" w:cs="Courier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F" w:rsidRDefault="00302A6F" w:rsidP="00BA3D9E">
      <w:pPr>
        <w:spacing w:after="0" w:line="240" w:lineRule="auto"/>
      </w:pPr>
      <w:r>
        <w:separator/>
      </w:r>
    </w:p>
  </w:footnote>
  <w:footnote w:type="continuationSeparator" w:id="0">
    <w:p w:rsidR="00302A6F" w:rsidRDefault="00302A6F" w:rsidP="00BA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552"/>
      <w:gridCol w:w="2552"/>
      <w:gridCol w:w="1701"/>
    </w:tblGrid>
    <w:tr w:rsidR="00BA3D9E" w:rsidTr="006A0787">
      <w:trPr>
        <w:trHeight w:hRule="exact" w:val="2812"/>
      </w:trPr>
      <w:tc>
        <w:tcPr>
          <w:tcW w:w="2552" w:type="dxa"/>
          <w:tcMar>
            <w:left w:w="0" w:type="dxa"/>
            <w:right w:w="0" w:type="dxa"/>
          </w:tcMar>
        </w:tcPr>
        <w:p w:rsidR="00BA3D9E" w:rsidRDefault="00B0170E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7001C416" wp14:editId="0ECC72EF">
                <wp:extent cx="1554483" cy="399289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bicom -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3" cy="39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</w:tcPr>
        <w:p w:rsidR="00C34D5B" w:rsidRDefault="00C34D5B">
          <w:pPr>
            <w:pStyle w:val="Zhlav"/>
            <w:rPr>
              <w:rFonts w:ascii="Calibri" w:hAnsi="Calibri" w:cs="Arial"/>
              <w:b/>
              <w:sz w:val="16"/>
              <w:szCs w:val="16"/>
            </w:rPr>
          </w:pPr>
        </w:p>
        <w:p w:rsidR="00C34D5B" w:rsidRPr="00C34D5B" w:rsidRDefault="00C34D5B" w:rsidP="00C34D5B"/>
        <w:p w:rsidR="00C34D5B" w:rsidRPr="00C34D5B" w:rsidRDefault="00C34D5B" w:rsidP="00C34D5B"/>
        <w:p w:rsidR="00C34D5B" w:rsidRPr="00C34D5B" w:rsidRDefault="00C34D5B" w:rsidP="00C34D5B"/>
        <w:p w:rsidR="00C34D5B" w:rsidRDefault="00C34D5B" w:rsidP="00C34D5B"/>
        <w:p w:rsidR="00C34D5B" w:rsidRPr="00C34D5B" w:rsidRDefault="00C34D5B" w:rsidP="00C34D5B"/>
        <w:p w:rsidR="00C34D5B" w:rsidRDefault="00C34D5B" w:rsidP="00C34D5B"/>
        <w:p w:rsidR="00C34D5B" w:rsidRDefault="00C34D5B" w:rsidP="00C34D5B"/>
        <w:p w:rsidR="00BA3D9E" w:rsidRPr="00C34D5B" w:rsidRDefault="00BA3D9E" w:rsidP="00C34D5B">
          <w:pPr>
            <w:jc w:val="center"/>
          </w:pPr>
        </w:p>
      </w:tc>
      <w:tc>
        <w:tcPr>
          <w:tcW w:w="2552" w:type="dxa"/>
          <w:tcMar>
            <w:left w:w="0" w:type="dxa"/>
            <w:right w:w="0" w:type="dxa"/>
          </w:tcMar>
        </w:tcPr>
        <w:p w:rsidR="00592EF4" w:rsidRPr="00815D0F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LABICOM s.r.o.</w:t>
          </w:r>
        </w:p>
        <w:p w:rsidR="00592EF4" w:rsidRPr="00815D0F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Vědeckotechnický park Univerzity Palackého v Olomouci (VTP UP)</w:t>
          </w:r>
        </w:p>
        <w:p w:rsidR="00592EF4" w:rsidRPr="00815D0F" w:rsidRDefault="00FC5F3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>
            <w:rPr>
              <w:rFonts w:ascii="Calibri" w:hAnsi="Calibri" w:cs="Arial"/>
              <w:spacing w:val="-4"/>
              <w:sz w:val="16"/>
              <w:szCs w:val="16"/>
            </w:rPr>
            <w:t>Šlechtitelů 19</w:t>
          </w:r>
        </w:p>
        <w:p w:rsidR="006A0787" w:rsidRPr="000F67B1" w:rsidRDefault="00592EF4" w:rsidP="00592EF4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783 71 Olomouc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T +420 585 436 915</w:t>
          </w:r>
        </w:p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F +420 585 436 916</w:t>
          </w:r>
        </w:p>
        <w:p w:rsidR="000F67B1" w:rsidRPr="00815D0F" w:rsidRDefault="000F67B1" w:rsidP="000F67B1">
          <w:pPr>
            <w:pStyle w:val="Zhlav"/>
            <w:rPr>
              <w:rFonts w:ascii="Calibri" w:hAnsi="Calibri" w:cs="Arial"/>
              <w:spacing w:val="-4"/>
              <w:sz w:val="16"/>
              <w:szCs w:val="16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E info@labicom.cz</w:t>
          </w:r>
        </w:p>
        <w:p w:rsidR="00FE2549" w:rsidRDefault="00FE2549" w:rsidP="000F67B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hAnsi="Calibri" w:cs="Arial"/>
              <w:spacing w:val="-4"/>
              <w:sz w:val="16"/>
              <w:szCs w:val="16"/>
            </w:rPr>
          </w:pPr>
        </w:p>
        <w:p w:rsidR="000E78F9" w:rsidRPr="008C615B" w:rsidRDefault="000F67B1" w:rsidP="000F67B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rFonts w:ascii="Calibri" w:eastAsia="Times New Roman" w:hAnsi="Calibri" w:cs="Arial"/>
              <w:sz w:val="16"/>
              <w:szCs w:val="16"/>
              <w:lang w:eastAsia="cs-CZ"/>
            </w:rPr>
          </w:pPr>
          <w:r w:rsidRPr="00815D0F">
            <w:rPr>
              <w:rFonts w:ascii="Calibri" w:hAnsi="Calibri" w:cs="Arial"/>
              <w:spacing w:val="-4"/>
              <w:sz w:val="16"/>
              <w:szCs w:val="16"/>
            </w:rPr>
            <w:t>www.labicom.cz</w:t>
          </w:r>
        </w:p>
      </w:tc>
    </w:tr>
  </w:tbl>
  <w:p w:rsidR="00BA3D9E" w:rsidRDefault="00BA3D9E" w:rsidP="00B36F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806"/>
    <w:multiLevelType w:val="hybridMultilevel"/>
    <w:tmpl w:val="95428C7E"/>
    <w:lvl w:ilvl="0" w:tplc="03AC35DC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0"/>
    <w:rsid w:val="0003700D"/>
    <w:rsid w:val="000514EC"/>
    <w:rsid w:val="00051CB6"/>
    <w:rsid w:val="000647C0"/>
    <w:rsid w:val="000C6606"/>
    <w:rsid w:val="000D1A04"/>
    <w:rsid w:val="000E78F9"/>
    <w:rsid w:val="000F67B1"/>
    <w:rsid w:val="00105A0B"/>
    <w:rsid w:val="00161B17"/>
    <w:rsid w:val="001A6B8D"/>
    <w:rsid w:val="001F4FA3"/>
    <w:rsid w:val="001F5689"/>
    <w:rsid w:val="001F7E56"/>
    <w:rsid w:val="0023535E"/>
    <w:rsid w:val="002D6A83"/>
    <w:rsid w:val="00302A6F"/>
    <w:rsid w:val="00303719"/>
    <w:rsid w:val="00304B9B"/>
    <w:rsid w:val="0038219C"/>
    <w:rsid w:val="003A41C9"/>
    <w:rsid w:val="003A4EFB"/>
    <w:rsid w:val="003E50E4"/>
    <w:rsid w:val="003F1A53"/>
    <w:rsid w:val="00453B7E"/>
    <w:rsid w:val="00472435"/>
    <w:rsid w:val="00551350"/>
    <w:rsid w:val="00582110"/>
    <w:rsid w:val="00582AB3"/>
    <w:rsid w:val="00592EF4"/>
    <w:rsid w:val="005C1D98"/>
    <w:rsid w:val="00634D07"/>
    <w:rsid w:val="0064789F"/>
    <w:rsid w:val="006613A0"/>
    <w:rsid w:val="00672B86"/>
    <w:rsid w:val="006A0787"/>
    <w:rsid w:val="006E7A5E"/>
    <w:rsid w:val="006F1AF7"/>
    <w:rsid w:val="00715F26"/>
    <w:rsid w:val="00727B7A"/>
    <w:rsid w:val="00783154"/>
    <w:rsid w:val="007A7D19"/>
    <w:rsid w:val="008013BB"/>
    <w:rsid w:val="008232D8"/>
    <w:rsid w:val="00823BC2"/>
    <w:rsid w:val="00863CCA"/>
    <w:rsid w:val="008B3B98"/>
    <w:rsid w:val="008C615B"/>
    <w:rsid w:val="008D4B6D"/>
    <w:rsid w:val="00961BBD"/>
    <w:rsid w:val="00977E13"/>
    <w:rsid w:val="009E503E"/>
    <w:rsid w:val="00A4400B"/>
    <w:rsid w:val="00AA4A7F"/>
    <w:rsid w:val="00AC7913"/>
    <w:rsid w:val="00B0170E"/>
    <w:rsid w:val="00B36FFD"/>
    <w:rsid w:val="00B429B1"/>
    <w:rsid w:val="00B42C1A"/>
    <w:rsid w:val="00BA1A2B"/>
    <w:rsid w:val="00BA3D9E"/>
    <w:rsid w:val="00BF2555"/>
    <w:rsid w:val="00BF30EB"/>
    <w:rsid w:val="00BF4083"/>
    <w:rsid w:val="00C02257"/>
    <w:rsid w:val="00C34D5B"/>
    <w:rsid w:val="00CA719F"/>
    <w:rsid w:val="00CE0FD4"/>
    <w:rsid w:val="00CF1EC9"/>
    <w:rsid w:val="00D3114A"/>
    <w:rsid w:val="00DB49EB"/>
    <w:rsid w:val="00DD62C6"/>
    <w:rsid w:val="00E06774"/>
    <w:rsid w:val="00E36F74"/>
    <w:rsid w:val="00E62B1A"/>
    <w:rsid w:val="00E62C17"/>
    <w:rsid w:val="00EF204B"/>
    <w:rsid w:val="00F62AF0"/>
    <w:rsid w:val="00F92E33"/>
    <w:rsid w:val="00FB70CB"/>
    <w:rsid w:val="00FC2348"/>
    <w:rsid w:val="00FC5F34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D9E"/>
  </w:style>
  <w:style w:type="paragraph" w:styleId="Zpat">
    <w:name w:val="footer"/>
    <w:basedOn w:val="Normln"/>
    <w:link w:val="Zpat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D9E"/>
  </w:style>
  <w:style w:type="table" w:styleId="Mkatabulky">
    <w:name w:val="Table Grid"/>
    <w:basedOn w:val="Normlntabulka"/>
    <w:uiPriority w:val="39"/>
    <w:rsid w:val="00BA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78F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0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3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D9E"/>
  </w:style>
  <w:style w:type="paragraph" w:styleId="Zpat">
    <w:name w:val="footer"/>
    <w:basedOn w:val="Normln"/>
    <w:link w:val="ZpatChar"/>
    <w:uiPriority w:val="99"/>
    <w:unhideWhenUsed/>
    <w:rsid w:val="00BA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D9E"/>
  </w:style>
  <w:style w:type="table" w:styleId="Mkatabulky">
    <w:name w:val="Table Grid"/>
    <w:basedOn w:val="Normlntabulka"/>
    <w:uiPriority w:val="39"/>
    <w:rsid w:val="00BA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78F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0E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XCZOG8QV\cz%20-%20labicom%20-%20word%20template%20-%20zakladni%20s%20logotypem%20(+%20informace%20v%20paticc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4233-C81B-454B-8103-FFD5128F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- labicom - word template - zakladni s logotypem (+ informace v paticce).dotx</Template>
  <TotalTime>3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Jindriska PC</cp:lastModifiedBy>
  <cp:revision>3</cp:revision>
  <cp:lastPrinted>2016-05-06T07:42:00Z</cp:lastPrinted>
  <dcterms:created xsi:type="dcterms:W3CDTF">2016-07-08T11:47:00Z</dcterms:created>
  <dcterms:modified xsi:type="dcterms:W3CDTF">2016-07-08T11:50:00Z</dcterms:modified>
</cp:coreProperties>
</file>